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E920" w14:textId="77777777" w:rsidR="00B34E83" w:rsidRPr="00B34E83" w:rsidRDefault="00B34E83" w:rsidP="00B34E83">
      <w:pPr>
        <w:shd w:val="clear" w:color="auto" w:fill="FFFFFF"/>
        <w:spacing w:after="100" w:afterAutospacing="1" w:line="240" w:lineRule="auto"/>
        <w:jc w:val="both"/>
        <w:rPr>
          <w:rFonts w:ascii="Noto Sans" w:eastAsia="Times New Roman" w:hAnsi="Noto Sans" w:cs="Noto Sans"/>
          <w:color w:val="012150"/>
          <w:kern w:val="0"/>
          <w:sz w:val="24"/>
          <w:szCs w:val="24"/>
          <w14:ligatures w14:val="none"/>
        </w:rPr>
      </w:pPr>
      <w:r w:rsidRPr="00B34E83">
        <w:rPr>
          <w:rFonts w:ascii="Noto Sans" w:eastAsia="Times New Roman" w:hAnsi="Noto Sans" w:cs="Noto Sans"/>
          <w:color w:val="012150"/>
          <w:kern w:val="0"/>
          <w:sz w:val="24"/>
          <w:szCs w:val="24"/>
          <w14:ligatures w14:val="none"/>
        </w:rPr>
        <w:t>On the basis of an assessment of the current and evolving macroeconomic situation, the Monetary Policy Committee (MPC) at its meeting today (June 7, 2024) decided to:</w:t>
      </w:r>
    </w:p>
    <w:p w14:paraId="65CD32B6" w14:textId="77777777" w:rsidR="00B34E83" w:rsidRPr="00B34E83" w:rsidRDefault="00B34E83" w:rsidP="00B34E83">
      <w:pPr>
        <w:numPr>
          <w:ilvl w:val="0"/>
          <w:numId w:val="1"/>
        </w:numPr>
        <w:shd w:val="clear" w:color="auto" w:fill="FFFFFF"/>
        <w:spacing w:after="0" w:line="240" w:lineRule="auto"/>
        <w:jc w:val="both"/>
        <w:rPr>
          <w:rFonts w:ascii="Noto Sans" w:eastAsia="Times New Roman" w:hAnsi="Noto Sans" w:cs="Noto Sans"/>
          <w:color w:val="012150"/>
          <w:kern w:val="0"/>
          <w:sz w:val="24"/>
          <w:szCs w:val="24"/>
          <w14:ligatures w14:val="none"/>
        </w:rPr>
      </w:pPr>
      <w:r w:rsidRPr="00B34E83">
        <w:rPr>
          <w:rFonts w:ascii="Noto Sans" w:eastAsia="Times New Roman" w:hAnsi="Noto Sans" w:cs="Noto Sans"/>
          <w:color w:val="012150"/>
          <w:kern w:val="0"/>
          <w:sz w:val="24"/>
          <w:szCs w:val="24"/>
          <w14:ligatures w14:val="none"/>
        </w:rPr>
        <w:t>Keep the policy repo rate under the liquidity adjustment facility (LAF) unchanged at 6.50 per cent.</w:t>
      </w:r>
    </w:p>
    <w:p w14:paraId="0C1F51E7" w14:textId="77777777" w:rsidR="00B34E83" w:rsidRPr="00B34E83" w:rsidRDefault="00B34E83" w:rsidP="00B34E83">
      <w:pPr>
        <w:shd w:val="clear" w:color="auto" w:fill="FFFFFF"/>
        <w:spacing w:after="100" w:afterAutospacing="1" w:line="240" w:lineRule="auto"/>
        <w:jc w:val="both"/>
        <w:rPr>
          <w:rFonts w:ascii="Noto Sans" w:eastAsia="Times New Roman" w:hAnsi="Noto Sans" w:cs="Noto Sans"/>
          <w:color w:val="012150"/>
          <w:kern w:val="0"/>
          <w:sz w:val="24"/>
          <w:szCs w:val="24"/>
          <w14:ligatures w14:val="none"/>
        </w:rPr>
      </w:pPr>
      <w:r w:rsidRPr="00B34E83">
        <w:rPr>
          <w:rFonts w:ascii="Noto Sans" w:eastAsia="Times New Roman" w:hAnsi="Noto Sans" w:cs="Noto Sans"/>
          <w:color w:val="012150"/>
          <w:kern w:val="0"/>
          <w:sz w:val="24"/>
          <w:szCs w:val="24"/>
          <w14:ligatures w14:val="none"/>
        </w:rPr>
        <w:t>Consequently, the standing deposit facility (SDF) rate remains unchanged at 6.25 per cent and the marginal standing facility (MSF) rate and the Bank Rate at 6.75 per cent.</w:t>
      </w:r>
    </w:p>
    <w:p w14:paraId="2895BFF8" w14:textId="77777777" w:rsidR="00B34E83" w:rsidRPr="00B34E83" w:rsidRDefault="00B34E83" w:rsidP="00B34E83">
      <w:pPr>
        <w:numPr>
          <w:ilvl w:val="0"/>
          <w:numId w:val="2"/>
        </w:numPr>
        <w:shd w:val="clear" w:color="auto" w:fill="FFFFFF"/>
        <w:spacing w:after="0" w:line="240" w:lineRule="auto"/>
        <w:jc w:val="both"/>
        <w:rPr>
          <w:rFonts w:ascii="Noto Sans" w:eastAsia="Times New Roman" w:hAnsi="Noto Sans" w:cs="Noto Sans"/>
          <w:color w:val="012150"/>
          <w:kern w:val="0"/>
          <w:sz w:val="24"/>
          <w:szCs w:val="24"/>
          <w14:ligatures w14:val="none"/>
        </w:rPr>
      </w:pPr>
      <w:r w:rsidRPr="00B34E83">
        <w:rPr>
          <w:rFonts w:ascii="Noto Sans" w:eastAsia="Times New Roman" w:hAnsi="Noto Sans" w:cs="Noto Sans"/>
          <w:color w:val="012150"/>
          <w:kern w:val="0"/>
          <w:sz w:val="24"/>
          <w:szCs w:val="24"/>
          <w14:ligatures w14:val="none"/>
        </w:rPr>
        <w:t>The MPC also decided to remain focused on withdrawal of accommodation to ensure that inflation progressively aligns to the target, while supporting growth.</w:t>
      </w:r>
    </w:p>
    <w:p w14:paraId="13F257A7" w14:textId="77777777" w:rsidR="00B34E83" w:rsidRPr="00B34E83" w:rsidRDefault="00B34E83" w:rsidP="00B34E83">
      <w:pPr>
        <w:shd w:val="clear" w:color="auto" w:fill="FFFFFF"/>
        <w:spacing w:after="100" w:afterAutospacing="1" w:line="240" w:lineRule="auto"/>
        <w:jc w:val="both"/>
        <w:rPr>
          <w:rFonts w:ascii="Noto Sans" w:eastAsia="Times New Roman" w:hAnsi="Noto Sans" w:cs="Noto Sans"/>
          <w:color w:val="012150"/>
          <w:kern w:val="0"/>
          <w:sz w:val="24"/>
          <w:szCs w:val="24"/>
          <w14:ligatures w14:val="none"/>
        </w:rPr>
      </w:pPr>
      <w:r w:rsidRPr="00B34E83">
        <w:rPr>
          <w:rFonts w:ascii="Noto Sans" w:eastAsia="Times New Roman" w:hAnsi="Noto Sans" w:cs="Noto Sans"/>
          <w:color w:val="012150"/>
          <w:kern w:val="0"/>
          <w:sz w:val="24"/>
          <w:szCs w:val="24"/>
          <w14:ligatures w14:val="none"/>
        </w:rPr>
        <w:t>These decisions are in consonance with the objective of achieving the medium-term target for consumer price index (CPI) inflation of 4 per cent within a band of +/- 2 per cent, while supporting growth.</w:t>
      </w:r>
    </w:p>
    <w:p w14:paraId="53194AE1" w14:textId="77777777" w:rsidR="00B34E83" w:rsidRPr="00B34E83" w:rsidRDefault="00B34E83" w:rsidP="00B34E83">
      <w:pPr>
        <w:shd w:val="clear" w:color="auto" w:fill="FFFFFF"/>
        <w:spacing w:after="100" w:afterAutospacing="1" w:line="240" w:lineRule="auto"/>
        <w:jc w:val="both"/>
        <w:rPr>
          <w:rFonts w:ascii="Noto Sans" w:eastAsia="Times New Roman" w:hAnsi="Noto Sans" w:cs="Noto Sans"/>
          <w:color w:val="012150"/>
          <w:kern w:val="0"/>
          <w:sz w:val="24"/>
          <w:szCs w:val="24"/>
          <w14:ligatures w14:val="none"/>
        </w:rPr>
      </w:pPr>
      <w:r w:rsidRPr="00B34E83">
        <w:rPr>
          <w:rFonts w:ascii="Noto Sans" w:eastAsia="Times New Roman" w:hAnsi="Noto Sans" w:cs="Noto Sans"/>
          <w:b/>
          <w:bCs/>
          <w:color w:val="012150"/>
          <w:kern w:val="0"/>
          <w:sz w:val="24"/>
          <w:szCs w:val="24"/>
          <w14:ligatures w14:val="none"/>
        </w:rPr>
        <w:t>Assessment and Outlook</w:t>
      </w:r>
    </w:p>
    <w:p w14:paraId="0C5A6FD6" w14:textId="77777777" w:rsidR="00B34E83" w:rsidRPr="00B34E83" w:rsidRDefault="00B34E83" w:rsidP="00B34E83">
      <w:pPr>
        <w:shd w:val="clear" w:color="auto" w:fill="FFFFFF"/>
        <w:spacing w:after="100" w:afterAutospacing="1" w:line="240" w:lineRule="auto"/>
        <w:jc w:val="both"/>
        <w:rPr>
          <w:rFonts w:ascii="Noto Sans" w:eastAsia="Times New Roman" w:hAnsi="Noto Sans" w:cs="Noto Sans"/>
          <w:color w:val="012150"/>
          <w:kern w:val="0"/>
          <w:sz w:val="24"/>
          <w:szCs w:val="24"/>
          <w14:ligatures w14:val="none"/>
        </w:rPr>
      </w:pPr>
      <w:r w:rsidRPr="00B34E83">
        <w:rPr>
          <w:rFonts w:ascii="Noto Sans" w:eastAsia="Times New Roman" w:hAnsi="Noto Sans" w:cs="Noto Sans"/>
          <w:color w:val="012150"/>
          <w:kern w:val="0"/>
          <w:sz w:val="24"/>
          <w:szCs w:val="24"/>
          <w14:ligatures w14:val="none"/>
        </w:rPr>
        <w:t>2. Global economic activity is rebalancing and is expected to grow at a stable pace in 2024. Inflation has been moderating unevenly, with services inflation staying elevated and slowing progress towards targets. Uncertainty on the pace and timing of policy pivots by central banks is keeping financial markets volatile. Equity markets have touched new highs in both advanced and emerging market economies. Non-energy commodity prices have firmed up, while the US dollar and bond yields are exhibiting two-way movement with spillovers to emerging market currencies. Gold prices have surged to record highs on safe haven demand.</w:t>
      </w:r>
    </w:p>
    <w:p w14:paraId="04810CE8" w14:textId="77777777" w:rsidR="00B34E83" w:rsidRPr="00B34E83" w:rsidRDefault="00B34E83" w:rsidP="00B34E83">
      <w:pPr>
        <w:shd w:val="clear" w:color="auto" w:fill="FFFFFF"/>
        <w:spacing w:after="100" w:afterAutospacing="1" w:line="240" w:lineRule="auto"/>
        <w:jc w:val="both"/>
        <w:rPr>
          <w:rFonts w:ascii="Noto Sans" w:eastAsia="Times New Roman" w:hAnsi="Noto Sans" w:cs="Noto Sans"/>
          <w:color w:val="012150"/>
          <w:kern w:val="0"/>
          <w:sz w:val="24"/>
          <w:szCs w:val="24"/>
          <w14:ligatures w14:val="none"/>
        </w:rPr>
      </w:pPr>
      <w:r w:rsidRPr="00B34E83">
        <w:rPr>
          <w:rFonts w:ascii="Noto Sans" w:eastAsia="Times New Roman" w:hAnsi="Noto Sans" w:cs="Noto Sans"/>
          <w:color w:val="012150"/>
          <w:kern w:val="0"/>
          <w:sz w:val="24"/>
          <w:szCs w:val="24"/>
          <w14:ligatures w14:val="none"/>
        </w:rPr>
        <w:t>3. According to the provisional estimates released by the National Statistical Office (NSO) on May 31, 2024, real gross domestic product (GDP) growth in Q4:2023-24 stood at 7.8 per cent as against 8.6 per cent in Q3. Real GDP growth for 2023-24 was placed at 8.2 per cent. On the supply side, real gross value added (GVA) rose by 6.3 per cent in Q4:2023-24. Real GVA recorded a growth of 7.2 per cent in 2023-24.</w:t>
      </w:r>
    </w:p>
    <w:p w14:paraId="65D8E18B" w14:textId="77777777" w:rsidR="00B34E83" w:rsidRPr="00B34E83" w:rsidRDefault="00B34E83" w:rsidP="00B34E83">
      <w:pPr>
        <w:shd w:val="clear" w:color="auto" w:fill="FFFFFF"/>
        <w:spacing w:after="100" w:afterAutospacing="1" w:line="240" w:lineRule="auto"/>
        <w:jc w:val="both"/>
        <w:rPr>
          <w:rFonts w:ascii="Noto Sans" w:eastAsia="Times New Roman" w:hAnsi="Noto Sans" w:cs="Noto Sans"/>
          <w:color w:val="012150"/>
          <w:kern w:val="0"/>
          <w:sz w:val="24"/>
          <w:szCs w:val="24"/>
          <w14:ligatures w14:val="none"/>
        </w:rPr>
      </w:pPr>
      <w:r w:rsidRPr="00B34E83">
        <w:rPr>
          <w:rFonts w:ascii="Noto Sans" w:eastAsia="Times New Roman" w:hAnsi="Noto Sans" w:cs="Noto Sans"/>
          <w:color w:val="012150"/>
          <w:kern w:val="0"/>
          <w:sz w:val="24"/>
          <w:szCs w:val="24"/>
          <w14:ligatures w14:val="none"/>
        </w:rPr>
        <w:t xml:space="preserve">4. Going forward, high frequency indicators of domestic activity are showing resilience in 2024-25. The south-west monsoon is expected to be above normal, which augurs well for agriculture and rural demand. Coupled with sustained momentum in manufacturing and services activity, this should enable a revival in private consumption. Investment activity is likely to remain on track, with high capacity </w:t>
      </w:r>
      <w:proofErr w:type="spellStart"/>
      <w:r w:rsidRPr="00B34E83">
        <w:rPr>
          <w:rFonts w:ascii="Noto Sans" w:eastAsia="Times New Roman" w:hAnsi="Noto Sans" w:cs="Noto Sans"/>
          <w:color w:val="012150"/>
          <w:kern w:val="0"/>
          <w:sz w:val="24"/>
          <w:szCs w:val="24"/>
          <w14:ligatures w14:val="none"/>
        </w:rPr>
        <w:t>utilisation</w:t>
      </w:r>
      <w:proofErr w:type="spellEnd"/>
      <w:r w:rsidRPr="00B34E83">
        <w:rPr>
          <w:rFonts w:ascii="Noto Sans" w:eastAsia="Times New Roman" w:hAnsi="Noto Sans" w:cs="Noto Sans"/>
          <w:color w:val="012150"/>
          <w:kern w:val="0"/>
          <w:sz w:val="24"/>
          <w:szCs w:val="24"/>
          <w14:ligatures w14:val="none"/>
        </w:rPr>
        <w:t xml:space="preserve">, healthy balance sheets of banks and corporates, government’s </w:t>
      </w:r>
      <w:r w:rsidRPr="00B34E83">
        <w:rPr>
          <w:rFonts w:ascii="Noto Sans" w:eastAsia="Times New Roman" w:hAnsi="Noto Sans" w:cs="Noto Sans"/>
          <w:color w:val="012150"/>
          <w:kern w:val="0"/>
          <w:sz w:val="24"/>
          <w:szCs w:val="24"/>
          <w14:ligatures w14:val="none"/>
        </w:rPr>
        <w:lastRenderedPageBreak/>
        <w:t>continued thrust on infrastructure spending, and optimism in business sentiments. Improving world trade prospects could support external demand. Headwinds from geopolitical tensions, volatility in international commodity prices, and geoeconomic fragmentation, however, pose risks to the outlook. Taking all these factors into consideration, real GDP growth for 2024-25 is projected at 7.2 per cent with Q1 at 7.3 per cent; Q2 at 7.2 per cent; Q3 at 7.3 per cent; and Q4 at 7.2 per cent (</w:t>
      </w:r>
      <w:hyperlink r:id="rId5" w:anchor="CHART" w:history="1">
        <w:r w:rsidRPr="00B34E83">
          <w:rPr>
            <w:rFonts w:ascii="Noto Sans" w:eastAsia="Times New Roman" w:hAnsi="Noto Sans" w:cs="Noto Sans"/>
            <w:color w:val="0000FF"/>
            <w:kern w:val="0"/>
            <w:sz w:val="24"/>
            <w:szCs w:val="24"/>
            <w:u w:val="single"/>
            <w14:ligatures w14:val="none"/>
          </w:rPr>
          <w:t>Chart 1</w:t>
        </w:r>
      </w:hyperlink>
      <w:r w:rsidRPr="00B34E83">
        <w:rPr>
          <w:rFonts w:ascii="Noto Sans" w:eastAsia="Times New Roman" w:hAnsi="Noto Sans" w:cs="Noto Sans"/>
          <w:color w:val="012150"/>
          <w:kern w:val="0"/>
          <w:sz w:val="24"/>
          <w:szCs w:val="24"/>
          <w14:ligatures w14:val="none"/>
        </w:rPr>
        <w:t>). The risks are evenly balanced.</w:t>
      </w:r>
    </w:p>
    <w:p w14:paraId="4C51735A" w14:textId="77777777" w:rsidR="00B34E83" w:rsidRPr="00B34E83" w:rsidRDefault="00B34E83" w:rsidP="00B34E83">
      <w:pPr>
        <w:shd w:val="clear" w:color="auto" w:fill="FFFFFF"/>
        <w:spacing w:after="100" w:afterAutospacing="1" w:line="240" w:lineRule="auto"/>
        <w:jc w:val="both"/>
        <w:rPr>
          <w:rFonts w:ascii="Noto Sans" w:eastAsia="Times New Roman" w:hAnsi="Noto Sans" w:cs="Noto Sans"/>
          <w:color w:val="012150"/>
          <w:kern w:val="0"/>
          <w:sz w:val="24"/>
          <w:szCs w:val="24"/>
          <w14:ligatures w14:val="none"/>
        </w:rPr>
      </w:pPr>
      <w:r w:rsidRPr="00B34E83">
        <w:rPr>
          <w:rFonts w:ascii="Noto Sans" w:eastAsia="Times New Roman" w:hAnsi="Noto Sans" w:cs="Noto Sans"/>
          <w:color w:val="012150"/>
          <w:kern w:val="0"/>
          <w:sz w:val="24"/>
          <w:szCs w:val="24"/>
          <w14:ligatures w14:val="none"/>
        </w:rPr>
        <w:t>5. Headline inflation has seen sequential moderation since February 2024, albeit in a narrow range from 5.1 per cent in February to 4.8 per cent in April 2024. Food inflation, however, remains elevated due to persistence of inflation pressures in vegetables, pulses, cereals, and spices. Deflation in fuel prices deepened during March-April, reflecting the cut in liquified petroleum gas (LPG) prices. Core (CPI excluding food and fuel) inflation eased further to 3.2 per cent in April, the lowest in the current CPI series, with core services inflation also falling to historic lows.</w:t>
      </w:r>
    </w:p>
    <w:p w14:paraId="6BC32613" w14:textId="77777777" w:rsidR="00B34E83" w:rsidRPr="00B34E83" w:rsidRDefault="00B34E83" w:rsidP="00B34E83">
      <w:pPr>
        <w:shd w:val="clear" w:color="auto" w:fill="FFFFFF"/>
        <w:spacing w:after="100" w:afterAutospacing="1" w:line="240" w:lineRule="auto"/>
        <w:jc w:val="both"/>
        <w:rPr>
          <w:rFonts w:ascii="Noto Sans" w:eastAsia="Times New Roman" w:hAnsi="Noto Sans" w:cs="Noto Sans"/>
          <w:color w:val="012150"/>
          <w:kern w:val="0"/>
          <w:sz w:val="24"/>
          <w:szCs w:val="24"/>
          <w14:ligatures w14:val="none"/>
        </w:rPr>
      </w:pPr>
      <w:r w:rsidRPr="00B34E83">
        <w:rPr>
          <w:rFonts w:ascii="Noto Sans" w:eastAsia="Times New Roman" w:hAnsi="Noto Sans" w:cs="Noto Sans"/>
          <w:color w:val="012150"/>
          <w:kern w:val="0"/>
          <w:sz w:val="24"/>
          <w:szCs w:val="24"/>
          <w14:ligatures w14:val="none"/>
        </w:rPr>
        <w:t>6. Looking ahead, overlapping shocks engendered by rising incidence of adverse climate events impart considerable uncertainty to the food inflation trajectory. Market arrivals of key rabi crops, particularly pulses and vegetables, need to be closely monitored in view of the recent sharp upturn in prices. Normal monsoon, however, could lead to softening of food inflation pressures over the course of the year. Pressure from input costs have started to edge up and early results from enterprises surveyed by the Reserve Bank expect selling prices to remain firm. Volatility in crude oil prices and financial markets along with firming up of non-energy commodity prices pose upside risks to inflation. Taking into account these factors, CPI inflation for 2024-25 is projected at 4.5 per cent with Q1 at 4.9 per cent; Q2 at 3.8 per cent; Q3 at 4.6 per cent; and Q4 at 4.5 per cent (</w:t>
      </w:r>
      <w:hyperlink r:id="rId6" w:anchor="CHART" w:history="1">
        <w:r w:rsidRPr="00B34E83">
          <w:rPr>
            <w:rFonts w:ascii="Noto Sans" w:eastAsia="Times New Roman" w:hAnsi="Noto Sans" w:cs="Noto Sans"/>
            <w:color w:val="0000FF"/>
            <w:kern w:val="0"/>
            <w:sz w:val="24"/>
            <w:szCs w:val="24"/>
            <w:u w:val="single"/>
            <w14:ligatures w14:val="none"/>
          </w:rPr>
          <w:t>Chart 2</w:t>
        </w:r>
      </w:hyperlink>
      <w:r w:rsidRPr="00B34E83">
        <w:rPr>
          <w:rFonts w:ascii="Noto Sans" w:eastAsia="Times New Roman" w:hAnsi="Noto Sans" w:cs="Noto Sans"/>
          <w:color w:val="012150"/>
          <w:kern w:val="0"/>
          <w:sz w:val="24"/>
          <w:szCs w:val="24"/>
          <w14:ligatures w14:val="none"/>
        </w:rPr>
        <w:t>). The risks are evenly balanced.</w:t>
      </w:r>
    </w:p>
    <w:p w14:paraId="4C1A4EC5" w14:textId="77777777" w:rsidR="006857C5" w:rsidRDefault="006857C5"/>
    <w:sectPr w:rsidR="00685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761C7"/>
    <w:multiLevelType w:val="multilevel"/>
    <w:tmpl w:val="BEBE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F4434E"/>
    <w:multiLevelType w:val="multilevel"/>
    <w:tmpl w:val="B12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506150">
    <w:abstractNumId w:val="1"/>
  </w:num>
  <w:num w:numId="2" w16cid:durableId="4691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83"/>
    <w:rsid w:val="002409B7"/>
    <w:rsid w:val="003D002F"/>
    <w:rsid w:val="006857C5"/>
    <w:rsid w:val="008B3298"/>
    <w:rsid w:val="00B34E83"/>
    <w:rsid w:val="00CC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DAB1"/>
  <w15:chartTrackingRefBased/>
  <w15:docId w15:val="{AC315FA5-A9D7-492F-BDFA-B59A172C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E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34E83"/>
    <w:rPr>
      <w:b/>
      <w:bCs/>
    </w:rPr>
  </w:style>
  <w:style w:type="character" w:styleId="Hyperlink">
    <w:name w:val="Hyperlink"/>
    <w:basedOn w:val="DefaultParagraphFont"/>
    <w:uiPriority w:val="99"/>
    <w:semiHidden/>
    <w:unhideWhenUsed/>
    <w:rsid w:val="00B34E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30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site.rbi.org.in/web/rbi/-/press-releases/monetary-policy-statement-2024-25-resolution-of-the-monetary-policy-committee-mpc-june-5-to-7-2024" TargetMode="External"/><Relationship Id="rId5" Type="http://schemas.openxmlformats.org/officeDocument/2006/relationships/hyperlink" Target="https://website.rbi.org.in/web/rbi/-/press-releases/monetary-policy-statement-2024-25-resolution-of-the-monetary-policy-committee-mpc-june-5-to-7-20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4020</Characters>
  <Application>Microsoft Office Word</Application>
  <DocSecurity>0</DocSecurity>
  <Lines>33</Lines>
  <Paragraphs>9</Paragraphs>
  <ScaleCrop>false</ScaleCrop>
  <Company>PricewaterhouseCoopers</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Gupta (IN)</dc:creator>
  <cp:keywords/>
  <dc:description/>
  <cp:lastModifiedBy>Aditya Gupta (IN)</cp:lastModifiedBy>
  <cp:revision>1</cp:revision>
  <dcterms:created xsi:type="dcterms:W3CDTF">2024-06-07T08:23:00Z</dcterms:created>
  <dcterms:modified xsi:type="dcterms:W3CDTF">2024-06-07T08:24:00Z</dcterms:modified>
</cp:coreProperties>
</file>